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5" w:type="dxa"/>
        <w:jc w:val="center"/>
        <w:tblInd w:w="1" w:type="dxa"/>
        <w:shd w:val="clear" w:color="auto" w:fill="FFFFFF"/>
        <w:tblLayout w:type="fixed"/>
        <w:tblCellMar>
          <w:top w:w="0" w:type="dxa"/>
          <w:left w:w="0" w:type="dxa"/>
          <w:bottom w:w="0" w:type="dxa"/>
          <w:right w:w="0" w:type="dxa"/>
        </w:tblCellMar>
      </w:tblPr>
      <w:tblGrid>
        <w:gridCol w:w="7973"/>
        <w:gridCol w:w="332"/>
      </w:tblGrid>
      <w:tr>
        <w:tblPrEx>
          <w:shd w:val="clear" w:color="auto" w:fill="FFFFFF"/>
          <w:tblLayout w:type="fixed"/>
        </w:tblPrEx>
        <w:trPr>
          <w:trHeight w:val="885" w:hRule="atLeast"/>
          <w:jc w:val="center"/>
        </w:trPr>
        <w:tc>
          <w:tcPr>
            <w:tcW w:w="7973" w:type="dxa"/>
            <w:shd w:val="clear" w:color="auto" w:fill="FFFFFF"/>
            <w:vAlign w:val="center"/>
          </w:tcPr>
          <w:p>
            <w:pPr>
              <w:keepNext w:val="0"/>
              <w:keepLines w:val="0"/>
              <w:widowControl/>
              <w:suppressLineNumbers w:val="0"/>
              <w:shd w:val="clear" w:fill="FFFFFF"/>
              <w:jc w:val="left"/>
              <w:rPr>
                <w:rFonts w:hint="eastAsia" w:ascii="宋体" w:hAnsi="宋体" w:eastAsia="宋体" w:cs="宋体"/>
                <w:color w:val="333333"/>
                <w:sz w:val="18"/>
                <w:szCs w:val="18"/>
              </w:rPr>
            </w:pPr>
            <w:r>
              <w:rPr>
                <w:rStyle w:val="4"/>
                <w:rFonts w:hint="eastAsia" w:ascii="宋体" w:hAnsi="宋体" w:eastAsia="宋体" w:cs="宋体"/>
                <w:color w:val="333333"/>
                <w:kern w:val="0"/>
                <w:sz w:val="36"/>
                <w:szCs w:val="36"/>
                <w:bdr w:val="none" w:color="auto" w:sz="0" w:space="0"/>
                <w:lang w:val="en-US" w:eastAsia="zh-CN" w:bidi="ar"/>
              </w:rPr>
              <w:t>中</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华</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人</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民</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共</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和</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国</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监</w:t>
            </w:r>
            <w:r>
              <w:rPr>
                <w:rStyle w:val="4"/>
                <w:rFonts w:hint="eastAsia" w:ascii="宋体" w:hAnsi="宋体" w:eastAsia="宋体" w:cs="宋体"/>
                <w:color w:val="333333"/>
                <w:kern w:val="0"/>
                <w:sz w:val="56"/>
                <w:szCs w:val="56"/>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察</w:t>
            </w:r>
            <w:r>
              <w:rPr>
                <w:rStyle w:val="4"/>
                <w:rFonts w:hint="eastAsia" w:ascii="宋体" w:hAnsi="宋体" w:eastAsia="宋体" w:cs="宋体"/>
                <w:color w:val="333333"/>
                <w:kern w:val="0"/>
                <w:sz w:val="56"/>
                <w:szCs w:val="56"/>
                <w:bdr w:val="none" w:color="auto" w:sz="0" w:space="0"/>
                <w:lang w:val="en-US" w:eastAsia="zh-CN" w:bidi="ar"/>
              </w:rPr>
              <w:t> </w:t>
            </w:r>
            <w:r>
              <w:rPr>
                <w:rStyle w:val="4"/>
                <w:rFonts w:ascii="Arial" w:hAnsi="Arial" w:eastAsia="宋体" w:cs="Arial"/>
                <w:color w:val="333333"/>
                <w:kern w:val="0"/>
                <w:sz w:val="10"/>
                <w:szCs w:val="10"/>
                <w:bdr w:val="none" w:color="auto" w:sz="0" w:space="0"/>
                <w:lang w:val="en-US" w:eastAsia="zh-CN" w:bidi="ar"/>
              </w:rPr>
              <w:t> </w:t>
            </w:r>
            <w:r>
              <w:rPr>
                <w:rStyle w:val="4"/>
                <w:rFonts w:hint="eastAsia" w:ascii="宋体" w:hAnsi="宋体" w:eastAsia="宋体" w:cs="宋体"/>
                <w:color w:val="333333"/>
                <w:kern w:val="0"/>
                <w:sz w:val="36"/>
                <w:szCs w:val="36"/>
                <w:bdr w:val="none" w:color="auto" w:sz="0" w:space="0"/>
                <w:lang w:val="en-US" w:eastAsia="zh-CN" w:bidi="ar"/>
              </w:rPr>
              <w:t>部</w:t>
            </w:r>
          </w:p>
        </w:tc>
        <w:tc>
          <w:tcPr>
            <w:tcW w:w="332" w:type="dxa"/>
            <w:vMerge w:val="restart"/>
            <w:shd w:val="clear" w:color="auto" w:fill="FFFFFF"/>
            <w:vAlign w:val="center"/>
          </w:tcPr>
          <w:p>
            <w:pPr>
              <w:keepNext w:val="0"/>
              <w:keepLines w:val="0"/>
              <w:widowControl/>
              <w:suppressLineNumbers w:val="0"/>
              <w:shd w:val="clear" w:fill="FFFFFF"/>
              <w:jc w:val="left"/>
              <w:rPr>
                <w:rFonts w:hint="eastAsia" w:ascii="宋体" w:hAnsi="宋体" w:eastAsia="宋体" w:cs="宋体"/>
                <w:color w:val="333333"/>
                <w:sz w:val="18"/>
                <w:szCs w:val="18"/>
              </w:rPr>
            </w:pPr>
            <w:r>
              <w:rPr>
                <w:rStyle w:val="4"/>
                <w:rFonts w:hint="eastAsia" w:ascii="宋体" w:hAnsi="宋体" w:eastAsia="宋体" w:cs="宋体"/>
                <w:color w:val="333333"/>
                <w:kern w:val="0"/>
                <w:sz w:val="36"/>
                <w:szCs w:val="36"/>
                <w:bdr w:val="none" w:color="auto" w:sz="0" w:space="0"/>
                <w:lang w:val="en-US" w:eastAsia="zh-CN" w:bidi="ar"/>
              </w:rPr>
              <w:t>令</w:t>
            </w:r>
          </w:p>
        </w:tc>
      </w:tr>
      <w:tr>
        <w:tblPrEx>
          <w:tblLayout w:type="fixed"/>
          <w:tblCellMar>
            <w:top w:w="0" w:type="dxa"/>
            <w:left w:w="0" w:type="dxa"/>
            <w:bottom w:w="0" w:type="dxa"/>
            <w:right w:w="0" w:type="dxa"/>
          </w:tblCellMar>
        </w:tblPrEx>
        <w:trPr>
          <w:trHeight w:val="885" w:hRule="atLeast"/>
          <w:jc w:val="center"/>
        </w:trPr>
        <w:tc>
          <w:tcPr>
            <w:tcW w:w="7973" w:type="dxa"/>
            <w:shd w:val="clear" w:color="auto" w:fill="FFFFFF"/>
            <w:vAlign w:val="center"/>
          </w:tcPr>
          <w:p>
            <w:pPr>
              <w:keepNext w:val="0"/>
              <w:keepLines w:val="0"/>
              <w:widowControl/>
              <w:suppressLineNumbers w:val="0"/>
              <w:shd w:val="clear" w:fill="FFFFFF"/>
              <w:jc w:val="left"/>
              <w:rPr>
                <w:rFonts w:hint="eastAsia" w:ascii="宋体" w:hAnsi="宋体" w:eastAsia="宋体" w:cs="宋体"/>
                <w:color w:val="333333"/>
                <w:sz w:val="18"/>
                <w:szCs w:val="18"/>
              </w:rPr>
            </w:pPr>
            <w:r>
              <w:rPr>
                <w:rStyle w:val="4"/>
                <w:rFonts w:hint="eastAsia" w:ascii="宋体" w:hAnsi="宋体" w:eastAsia="宋体" w:cs="宋体"/>
                <w:color w:val="333333"/>
                <w:kern w:val="0"/>
                <w:sz w:val="36"/>
                <w:szCs w:val="36"/>
                <w:bdr w:val="none" w:color="auto" w:sz="0" w:space="0"/>
                <w:lang w:val="en-US" w:eastAsia="zh-CN" w:bidi="ar"/>
              </w:rPr>
              <w:t>中华人民共和国人力资源和社会保障部</w:t>
            </w:r>
          </w:p>
        </w:tc>
        <w:tc>
          <w:tcPr>
            <w:tcW w:w="332" w:type="dxa"/>
            <w:vMerge w:val="continue"/>
            <w:shd w:val="clear" w:color="auto" w:fill="FFFFFF"/>
            <w:vAlign w:val="center"/>
          </w:tcPr>
          <w:p>
            <w:pPr>
              <w:jc w:val="left"/>
              <w:rPr>
                <w:rFonts w:hint="eastAsia" w:ascii="宋体" w:hAnsi="宋体" w:eastAsia="宋体" w:cs="宋体"/>
                <w:color w:val="333333"/>
                <w:sz w:val="18"/>
                <w:szCs w:val="18"/>
              </w:rPr>
            </w:pPr>
          </w:p>
        </w:tc>
      </w:tr>
    </w:tbl>
    <w:p>
      <w:pPr>
        <w:pStyle w:val="2"/>
        <w:keepNext w:val="0"/>
        <w:keepLines w:val="0"/>
        <w:widowControl/>
        <w:suppressLineNumbers w:val="0"/>
        <w:spacing w:before="226" w:beforeAutospacing="0" w:after="0" w:afterAutospacing="0" w:line="450" w:lineRule="atLeast"/>
        <w:ind w:left="0" w:right="0"/>
        <w:jc w:val="center"/>
      </w:pPr>
      <w:r>
        <w:rPr>
          <w:rFonts w:hint="eastAsia" w:ascii="宋体" w:hAnsi="宋体" w:eastAsia="宋体" w:cs="宋体"/>
          <w:color w:val="333333"/>
          <w:sz w:val="24"/>
          <w:szCs w:val="24"/>
          <w:shd w:val="clear" w:fill="FFFFFF"/>
        </w:rPr>
        <w:t>第　</w:t>
      </w:r>
      <w:r>
        <w:rPr>
          <w:rStyle w:val="4"/>
          <w:rFonts w:hint="eastAsia" w:ascii="宋体" w:hAnsi="宋体" w:eastAsia="宋体" w:cs="宋体"/>
          <w:color w:val="333333"/>
          <w:sz w:val="24"/>
          <w:szCs w:val="24"/>
          <w:shd w:val="clear" w:fill="FFFFFF"/>
        </w:rPr>
        <w:t>23</w:t>
      </w:r>
      <w:r>
        <w:rPr>
          <w:rFonts w:hint="eastAsia" w:ascii="宋体" w:hAnsi="宋体" w:eastAsia="宋体" w:cs="宋体"/>
          <w:color w:val="333333"/>
          <w:sz w:val="24"/>
          <w:szCs w:val="24"/>
          <w:shd w:val="clear" w:fill="FFFFFF"/>
        </w:rPr>
        <w:t>　号</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xml:space="preserve">　　《用公款出国（境）旅游及相关违纪行为处分规定》已经2010年7月21日监察部第7次部长办公会议审议通过，人力资源社会保障部6月26日审议通过，国家公务员局6月24日审议通过。现予公布，自公布之日起施行。  </w:t>
      </w:r>
    </w:p>
    <w:p>
      <w:pPr>
        <w:pStyle w:val="2"/>
        <w:keepNext w:val="0"/>
        <w:keepLines w:val="0"/>
        <w:widowControl/>
        <w:suppressLineNumbers w:val="0"/>
        <w:spacing w:before="226" w:beforeAutospacing="0" w:after="0" w:afterAutospacing="0" w:line="450" w:lineRule="atLeast"/>
        <w:ind w:left="0" w:right="0"/>
        <w:jc w:val="right"/>
      </w:pPr>
      <w:r>
        <w:rPr>
          <w:rFonts w:hint="eastAsia" w:ascii="宋体" w:hAnsi="宋体" w:eastAsia="宋体" w:cs="宋体"/>
          <w:color w:val="333333"/>
          <w:sz w:val="24"/>
          <w:szCs w:val="24"/>
          <w:shd w:val="clear" w:fill="FFFFFF"/>
        </w:rPr>
        <w:t>监　 察　 部　 部 　长　　马　馼　　　　　</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人力资源社会保障部部长　　尹蔚民　　　　　</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二〇一〇年八月十二日　　　</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w:t>
      </w:r>
    </w:p>
    <w:p>
      <w:pPr>
        <w:pStyle w:val="2"/>
        <w:keepNext w:val="0"/>
        <w:keepLines w:val="0"/>
        <w:widowControl/>
        <w:suppressLineNumbers w:val="0"/>
        <w:spacing w:before="226" w:beforeAutospacing="0" w:after="0" w:afterAutospacing="0" w:line="450" w:lineRule="atLeast"/>
        <w:ind w:left="0" w:right="0"/>
        <w:jc w:val="center"/>
      </w:pPr>
      <w:r>
        <w:rPr>
          <w:rStyle w:val="4"/>
          <w:rFonts w:hint="eastAsia" w:ascii="宋体" w:hAnsi="宋体" w:eastAsia="宋体" w:cs="宋体"/>
          <w:color w:val="333333"/>
          <w:sz w:val="36"/>
          <w:szCs w:val="36"/>
          <w:shd w:val="clear" w:fill="FFFFFF"/>
        </w:rPr>
        <w:t>用公款出国（境）旅游及相关违纪行为处分规定</w:t>
      </w:r>
    </w:p>
    <w:p>
      <w:pPr>
        <w:pStyle w:val="2"/>
        <w:keepNext w:val="0"/>
        <w:keepLines w:val="0"/>
        <w:widowControl/>
        <w:suppressLineNumbers w:val="0"/>
        <w:spacing w:before="226" w:beforeAutospacing="0" w:after="0" w:afterAutospacing="0" w:line="450" w:lineRule="atLeast"/>
        <w:ind w:left="0" w:right="0"/>
      </w:pP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第一条</w:t>
      </w:r>
      <w:r>
        <w:rPr>
          <w:rFonts w:hint="eastAsia" w:ascii="宋体" w:hAnsi="宋体" w:eastAsia="宋体" w:cs="宋体"/>
          <w:color w:val="333333"/>
          <w:sz w:val="24"/>
          <w:szCs w:val="24"/>
          <w:shd w:val="clear" w:fill="FFFFFF"/>
        </w:rPr>
        <w:t>　为规范因公出国（境）管理秩序，明确相关政策界限，惩处用公款出国（境）旅游及相关违纪行为，根据《中华人民共和国行政监察法》、《中华人民共和国公务员法》和《行政机关公务员处分条例》等有关法律、行政法规，制定本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第二条</w:t>
      </w:r>
      <w:r>
        <w:rPr>
          <w:rFonts w:hint="eastAsia" w:ascii="宋体" w:hAnsi="宋体" w:eastAsia="宋体" w:cs="宋体"/>
          <w:color w:val="333333"/>
          <w:sz w:val="24"/>
          <w:szCs w:val="24"/>
          <w:shd w:val="clear" w:fill="FFFFFF"/>
        </w:rPr>
        <w:t>　本规定适用于下列人员：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（一）行政机关公务员；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（二）法律、法规授权的具有管理公共事务职能的组织以及国家行政机关依法委托的组织中除工勤人员以外的工作人员；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（三）企业、事业单位、社会团体中由行政机关任命的人员。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第三条</w:t>
      </w:r>
      <w:r>
        <w:rPr>
          <w:rFonts w:hint="eastAsia" w:ascii="宋体" w:hAnsi="宋体" w:eastAsia="宋体" w:cs="宋体"/>
          <w:color w:val="333333"/>
          <w:sz w:val="24"/>
          <w:szCs w:val="24"/>
          <w:shd w:val="clear" w:fill="FFFFFF"/>
        </w:rPr>
        <w:t>　本规定所称用公款出国（境）旅游行为，是指无出国（境）公务，组织或者参加用公款支付全部或者部分费用，到国（境）外进行参观、游览等活动的行为；其中包括无实质性公务，以考察、学习、培训、研讨、招商、参展、参加会议等名义，变相用公款出国（境）旅游的行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第四条</w:t>
      </w:r>
      <w:r>
        <w:rPr>
          <w:rFonts w:hint="eastAsia" w:ascii="宋体" w:hAnsi="宋体" w:eastAsia="宋体" w:cs="宋体"/>
          <w:color w:val="333333"/>
          <w:sz w:val="24"/>
          <w:szCs w:val="24"/>
          <w:shd w:val="clear" w:fill="FFFFFF"/>
        </w:rPr>
        <w:t>　用公款出国（境）旅游的，给予记过或者记大过处分；情节较重的，给予降级或者撤职处分；情节严重的，给予开除处分。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组织用公款出国（境）旅游的，给予降级或者撤职处分；情节严重的，给予开除处分。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第五条</w:t>
      </w:r>
      <w:r>
        <w:rPr>
          <w:rFonts w:hint="eastAsia" w:ascii="宋体" w:hAnsi="宋体" w:eastAsia="宋体" w:cs="宋体"/>
          <w:color w:val="333333"/>
          <w:sz w:val="24"/>
          <w:szCs w:val="24"/>
          <w:shd w:val="clear" w:fill="FFFFFF"/>
        </w:rPr>
        <w:t>　有下列行为之一的，给予警告或者记过处分；情节较重的，给予记大过或者降级处分；情节严重的，给予撤职处分：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（一）虚报出国（境）公务骗取批准的；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（二）购买、伪造邀请函或者编造虚假日程骗取批准的；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（三）采取伪造个人身份、资料等形式，安排与出国（境）公务无关人员出国（境）的；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（四）避开主管部门委托非主管部门办理因公出国（境）审核审批手续的；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（五）违反因公出国（境）管理规定，将一个团组拆分为若干团组报批或者审核审批的；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（六）其他违反因公出国（境）审核审批管理规定的。</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第六条</w:t>
      </w:r>
      <w:r>
        <w:rPr>
          <w:rFonts w:hint="eastAsia" w:ascii="宋体" w:hAnsi="宋体" w:eastAsia="宋体" w:cs="宋体"/>
          <w:color w:val="333333"/>
          <w:sz w:val="24"/>
          <w:szCs w:val="24"/>
          <w:shd w:val="clear" w:fill="FFFFFF"/>
        </w:rPr>
        <w:t>　组织以营利为目的的跨地区、跨部门团组用公款出国（境）的，给予记过或者记大过处分；情节较重的，给予降级或者撤职处分；情节严重的，给予开除处分。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第七条</w:t>
      </w:r>
      <w:r>
        <w:rPr>
          <w:rFonts w:hint="eastAsia" w:ascii="宋体" w:hAnsi="宋体" w:eastAsia="宋体" w:cs="宋体"/>
          <w:color w:val="333333"/>
          <w:sz w:val="24"/>
          <w:szCs w:val="24"/>
          <w:shd w:val="clear" w:fill="FFFFFF"/>
        </w:rPr>
        <w:t>　擅自批准或者同意延长在国（境）外停留时间，绕道安排行程，或者到未经批准进行公务活动的国家（地区）、城市，造成不良影响或者经济损失的，给予警告、记过或者记大过处分；情节较重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第八条</w:t>
      </w:r>
      <w:r>
        <w:rPr>
          <w:rFonts w:hint="eastAsia" w:ascii="宋体" w:hAnsi="宋体" w:eastAsia="宋体" w:cs="宋体"/>
          <w:color w:val="333333"/>
          <w:sz w:val="24"/>
          <w:szCs w:val="24"/>
          <w:shd w:val="clear" w:fill="FFFFFF"/>
        </w:rPr>
        <w:t>　因公出国（境）派出单位和审核审批管理部门玩忽职守、滥用职权，致使发生用公款出国（境）旅游行为，造成不良影响或者经济损失的，给予记过或者记大过处分；情节较重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第九条</w:t>
      </w:r>
      <w:r>
        <w:rPr>
          <w:rFonts w:hint="eastAsia" w:ascii="宋体" w:hAnsi="宋体" w:eastAsia="宋体" w:cs="宋体"/>
          <w:color w:val="333333"/>
          <w:sz w:val="24"/>
          <w:szCs w:val="24"/>
          <w:shd w:val="clear" w:fill="FFFFFF"/>
        </w:rPr>
        <w:t>　对本地区、本部门、本系统、本单位发生的用公款出国（境）旅游行为不制止、不查处，造成不良影响或者经济损失的，给予记过或者记大过处分；情节较重的，给予降级或者撤职处分；情节严重的，给予开除处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第十条</w:t>
      </w:r>
      <w:r>
        <w:rPr>
          <w:rFonts w:hint="eastAsia" w:ascii="宋体" w:hAnsi="宋体" w:eastAsia="宋体" w:cs="宋体"/>
          <w:color w:val="333333"/>
          <w:sz w:val="24"/>
          <w:szCs w:val="24"/>
          <w:shd w:val="clear" w:fill="FFFFFF"/>
        </w:rPr>
        <w:t>　用公款出国（境）旅游的，应当责令其退赔用公款支付的各项费用。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第十一条</w:t>
      </w:r>
      <w:r>
        <w:rPr>
          <w:rFonts w:hint="eastAsia" w:ascii="宋体" w:hAnsi="宋体" w:eastAsia="宋体" w:cs="宋体"/>
          <w:color w:val="333333"/>
          <w:sz w:val="24"/>
          <w:szCs w:val="24"/>
          <w:shd w:val="clear" w:fill="FFFFFF"/>
        </w:rPr>
        <w:t>　处分的程序和不服处分的申诉，依照《中华人民共和国行政监察法》、《中华人民共和国公务员法》、《行政机关公务员处分条例》等有关法律法规的规定办理。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第十二条</w:t>
      </w:r>
      <w:r>
        <w:rPr>
          <w:rFonts w:hint="eastAsia" w:ascii="宋体" w:hAnsi="宋体" w:eastAsia="宋体" w:cs="宋体"/>
          <w:color w:val="333333"/>
          <w:sz w:val="24"/>
          <w:szCs w:val="24"/>
          <w:shd w:val="clear" w:fill="FFFFFF"/>
        </w:rPr>
        <w:t>　有公款出国（境）旅游及相关违纪行为，应当给予党纪处分的，移送党的纪律检查机关处理；涉嫌犯罪的，移送司法机关处理。</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第十三条</w:t>
      </w:r>
      <w:r>
        <w:rPr>
          <w:rFonts w:hint="eastAsia" w:ascii="宋体" w:hAnsi="宋体" w:eastAsia="宋体" w:cs="宋体"/>
          <w:color w:val="333333"/>
          <w:sz w:val="24"/>
          <w:szCs w:val="24"/>
          <w:shd w:val="clear" w:fill="FFFFFF"/>
        </w:rPr>
        <w:t>　本规定由监察部、人力资源社会保障部负责解释。</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w:t>
      </w:r>
      <w:r>
        <w:rPr>
          <w:rStyle w:val="4"/>
          <w:rFonts w:hint="eastAsia" w:ascii="宋体" w:hAnsi="宋体" w:eastAsia="宋体" w:cs="宋体"/>
          <w:color w:val="333333"/>
          <w:sz w:val="24"/>
          <w:szCs w:val="24"/>
          <w:shd w:val="clear" w:fill="FFFFFF"/>
        </w:rPr>
        <w:t>第十四条</w:t>
      </w:r>
      <w:r>
        <w:rPr>
          <w:rFonts w:hint="eastAsia" w:ascii="宋体" w:hAnsi="宋体" w:eastAsia="宋体" w:cs="宋体"/>
          <w:color w:val="333333"/>
          <w:sz w:val="24"/>
          <w:szCs w:val="24"/>
          <w:shd w:val="clear" w:fill="FFFFFF"/>
        </w:rPr>
        <w:t>　本规定自公布之日起施行。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E574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TML Definition"/>
    <w:basedOn w:val="3"/>
    <w:uiPriority w:val="0"/>
  </w:style>
  <w:style w:type="character" w:styleId="7">
    <w:name w:val="HTML Variable"/>
    <w:basedOn w:val="3"/>
    <w:uiPriority w:val="0"/>
  </w:style>
  <w:style w:type="character" w:styleId="8">
    <w:name w:val="Hyperlink"/>
    <w:basedOn w:val="3"/>
    <w:uiPriority w:val="0"/>
    <w:rPr>
      <w:color w:val="000000"/>
      <w:u w:val="none"/>
    </w:rPr>
  </w:style>
  <w:style w:type="character" w:styleId="9">
    <w:name w:val="HTML Code"/>
    <w:basedOn w:val="3"/>
    <w:uiPriority w:val="0"/>
    <w:rPr>
      <w:rFonts w:ascii="Courier New" w:hAnsi="Courier New"/>
      <w:sz w:val="20"/>
    </w:rPr>
  </w:style>
  <w:style w:type="character" w:styleId="10">
    <w:name w:val="HTML Cite"/>
    <w:basedOn w:val="3"/>
    <w:uiPriority w:val="0"/>
  </w:style>
  <w:style w:type="character" w:customStyle="1" w:styleId="12">
    <w:name w:val="font"/>
    <w:basedOn w:val="3"/>
    <w:uiPriority w:val="0"/>
  </w:style>
  <w:style w:type="character" w:customStyle="1" w:styleId="13">
    <w:name w:val="font1"/>
    <w:basedOn w:val="3"/>
    <w:uiPriority w:val="0"/>
  </w:style>
  <w:style w:type="character" w:customStyle="1" w:styleId="14">
    <w:name w:val="place"/>
    <w:basedOn w:val="3"/>
    <w:uiPriority w:val="0"/>
    <w:rPr>
      <w:bdr w:val="none" w:color="auto" w:sz="0" w:space="0"/>
    </w:rPr>
  </w:style>
  <w:style w:type="character" w:customStyle="1" w:styleId="15">
    <w:name w:val="place1"/>
    <w:basedOn w:val="3"/>
    <w:uiPriority w:val="0"/>
    <w:rPr>
      <w:rFonts w:ascii="微软雅黑" w:hAnsi="微软雅黑" w:eastAsia="微软雅黑" w:cs="微软雅黑"/>
      <w:color w:val="888888"/>
      <w:sz w:val="25"/>
      <w:szCs w:val="25"/>
      <w:bdr w:val="none" w:color="auto" w:sz="0" w:space="0"/>
    </w:rPr>
  </w:style>
  <w:style w:type="character" w:customStyle="1" w:styleId="16">
    <w:name w:val="place2"/>
    <w:basedOn w:val="3"/>
    <w:uiPriority w:val="0"/>
    <w:rPr>
      <w:bdr w:val="none" w:color="auto" w:sz="0" w:space="0"/>
    </w:rPr>
  </w:style>
  <w:style w:type="character" w:customStyle="1" w:styleId="17">
    <w:name w:val="place3"/>
    <w:basedOn w:val="3"/>
    <w:uiPriority w:val="0"/>
    <w:rPr>
      <w:bdr w:val="none" w:color="auto" w:sz="0" w:space="0"/>
    </w:rPr>
  </w:style>
  <w:style w:type="character" w:customStyle="1" w:styleId="18">
    <w:name w:val="noline"/>
    <w:basedOn w:val="3"/>
    <w:uiPriority w:val="0"/>
  </w:style>
  <w:style w:type="character" w:customStyle="1" w:styleId="19">
    <w:name w:val="hover19"/>
    <w:basedOn w:val="3"/>
    <w:uiPriority w:val="0"/>
    <w:rPr>
      <w:color w:val="025291"/>
    </w:rPr>
  </w:style>
  <w:style w:type="character" w:customStyle="1" w:styleId="20">
    <w:name w:val="gwds_nopic"/>
    <w:basedOn w:val="3"/>
    <w:uiPriority w:val="0"/>
  </w:style>
  <w:style w:type="character" w:customStyle="1" w:styleId="21">
    <w:name w:val="gwds_nopic1"/>
    <w:basedOn w:val="3"/>
    <w:uiPriority w:val="0"/>
  </w:style>
  <w:style w:type="character" w:customStyle="1" w:styleId="22">
    <w:name w:val="gwds_nopic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2018-01-16T07:47:39Z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